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33669">
      <w:pPr>
        <w:pStyle w:val="2"/>
        <w:spacing w:line="249" w:lineRule="auto"/>
      </w:pPr>
    </w:p>
    <w:p w14:paraId="688716D8">
      <w:pPr>
        <w:spacing w:before="69" w:line="245" w:lineRule="auto"/>
        <w:ind w:left="328" w:right="99" w:firstLine="6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STROBE</w:t>
      </w:r>
      <w:r>
        <w:rPr>
          <w:rFonts w:ascii="Times New Roman" w:hAnsi="Times New Roman" w:eastAsia="Times New Roman" w:cs="Times New Roman"/>
          <w:spacing w:val="15"/>
          <w:w w:val="10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Statement—Items to be included when reporting obser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vational studies in a conference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abstract</w:t>
      </w:r>
    </w:p>
    <w:p w14:paraId="7AC3C81B">
      <w:pPr>
        <w:spacing w:before="5"/>
      </w:pPr>
    </w:p>
    <w:p w14:paraId="2E324043">
      <w:pPr>
        <w:spacing w:before="4"/>
      </w:pPr>
    </w:p>
    <w:p w14:paraId="139B5A9A">
      <w:pPr>
        <w:sectPr>
          <w:headerReference r:id="rId5" w:type="default"/>
          <w:pgSz w:w="11909" w:h="16834"/>
          <w:pgMar w:top="1475" w:right="1418" w:bottom="0" w:left="813" w:header="504" w:footer="0" w:gutter="0"/>
          <w:cols w:equalWidth="0" w:num="1">
            <w:col w:w="9677"/>
          </w:cols>
        </w:sectPr>
      </w:pPr>
    </w:p>
    <w:p w14:paraId="69C8ADE6">
      <w:pPr>
        <w:spacing w:before="35" w:line="196" w:lineRule="auto"/>
        <w:ind w:left="323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b/>
          <w:bCs/>
          <w:spacing w:val="4"/>
          <w:sz w:val="19"/>
          <w:szCs w:val="19"/>
        </w:rPr>
        <w:t>Item</w:t>
      </w:r>
    </w:p>
    <w:p w14:paraId="7403F6F5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454D786E">
      <w:pPr>
        <w:spacing w:before="34" w:line="193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b/>
          <w:bCs/>
          <w:spacing w:val="4"/>
          <w:sz w:val="19"/>
          <w:szCs w:val="19"/>
        </w:rPr>
        <w:t>Recommendation</w:t>
      </w:r>
    </w:p>
    <w:p w14:paraId="6420E831">
      <w:pPr>
        <w:spacing w:line="193" w:lineRule="auto"/>
        <w:rPr>
          <w:rFonts w:ascii="Times New Roman" w:hAnsi="Times New Roman" w:eastAsia="Times New Roman" w:cs="Times New Roman"/>
          <w:sz w:val="19"/>
          <w:szCs w:val="19"/>
        </w:rPr>
        <w:sectPr>
          <w:type w:val="continuous"/>
          <w:pgSz w:w="11909" w:h="16834"/>
          <w:pgMar w:top="1475" w:right="1418" w:bottom="0" w:left="813" w:header="504" w:footer="0" w:gutter="0"/>
          <w:cols w:equalWidth="0" w:num="2">
            <w:col w:w="2134" w:space="100"/>
            <w:col w:w="7443"/>
          </w:cols>
        </w:sectPr>
      </w:pPr>
    </w:p>
    <w:tbl>
      <w:tblPr>
        <w:tblStyle w:val="6"/>
        <w:tblW w:w="9381" w:type="dxa"/>
        <w:tblInd w:w="211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1"/>
        <w:gridCol w:w="7470"/>
      </w:tblGrid>
      <w:tr w14:paraId="072A705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FBF96CC">
            <w:pPr>
              <w:pStyle w:val="7"/>
              <w:spacing w:before="108" w:line="197" w:lineRule="auto"/>
              <w:ind w:left="113"/>
            </w:pPr>
            <w:r>
              <w:rPr>
                <w:spacing w:val="2"/>
              </w:rPr>
              <w:t>Title</w:t>
            </w:r>
          </w:p>
        </w:tc>
        <w:tc>
          <w:tcPr>
            <w:tcW w:w="7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EFC553E">
            <w:pPr>
              <w:pStyle w:val="7"/>
              <w:spacing w:before="107" w:line="271" w:lineRule="auto"/>
              <w:ind w:left="113" w:right="653" w:hanging="1"/>
            </w:pPr>
            <w:r>
              <w:rPr>
                <w:rFonts w:hint="eastAsia"/>
              </w:rPr>
              <w:t>Post-marketing safety concerns with Caplacizumab: a real-world pharmacovigilance study based on the FDA Adverse Event Reporting System database</w:t>
            </w:r>
          </w:p>
        </w:tc>
      </w:tr>
      <w:tr w14:paraId="6E37040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DF2CDEF">
            <w:pPr>
              <w:pStyle w:val="7"/>
              <w:spacing w:before="102" w:line="197" w:lineRule="auto"/>
              <w:ind w:left="109"/>
            </w:pPr>
            <w:r>
              <w:rPr>
                <w:spacing w:val="4"/>
              </w:rPr>
              <w:t>Authors</w:t>
            </w:r>
          </w:p>
        </w:tc>
        <w:tc>
          <w:tcPr>
            <w:tcW w:w="7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F09243B">
            <w:pPr>
              <w:pStyle w:val="7"/>
              <w:spacing w:before="102" w:line="199" w:lineRule="auto"/>
              <w:ind w:left="114"/>
              <w:rPr>
                <w:rFonts w:hint="eastAsia"/>
              </w:rPr>
            </w:pPr>
            <w:r>
              <w:rPr>
                <w:rFonts w:hint="eastAsia"/>
              </w:rPr>
              <w:t>Corresponding author: Xiao-xia Yang</w:t>
            </w:r>
          </w:p>
          <w:p w14:paraId="2CBF5662">
            <w:pPr>
              <w:pStyle w:val="7"/>
              <w:spacing w:before="102" w:line="199" w:lineRule="auto"/>
              <w:ind w:left="114"/>
              <w:rPr>
                <w:rFonts w:hint="eastAsia"/>
              </w:rPr>
            </w:pPr>
            <w:r>
              <w:rPr>
                <w:rFonts w:hint="eastAsia"/>
              </w:rPr>
              <w:t>Email: yxx_678@163.com</w:t>
            </w:r>
          </w:p>
          <w:p w14:paraId="22D6D5AF">
            <w:pPr>
              <w:pStyle w:val="7"/>
              <w:spacing w:before="102" w:line="199" w:lineRule="auto"/>
              <w:ind w:left="114"/>
            </w:pPr>
            <w:r>
              <w:rPr>
                <w:rFonts w:hint="eastAsia"/>
              </w:rPr>
              <w:t>Affiliation: Department of Pharmacy, The Second Qilu Hospital of Shandong University, Jinan, China</w:t>
            </w:r>
          </w:p>
        </w:tc>
      </w:tr>
      <w:tr w14:paraId="32CD9A4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1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8488DB7">
            <w:pPr>
              <w:pStyle w:val="7"/>
              <w:spacing w:before="102" w:line="199" w:lineRule="auto"/>
              <w:ind w:left="120"/>
            </w:pPr>
            <w:r>
              <w:rPr>
                <w:spacing w:val="3"/>
              </w:rPr>
              <w:t>Study design</w:t>
            </w:r>
          </w:p>
        </w:tc>
        <w:tc>
          <w:tcPr>
            <w:tcW w:w="7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F4033BE">
            <w:pPr>
              <w:pStyle w:val="7"/>
              <w:spacing w:before="102" w:line="199" w:lineRule="auto"/>
              <w:ind w:left="111"/>
              <w:rPr>
                <w:rFonts w:hint="eastAsia"/>
              </w:rPr>
            </w:pPr>
            <w:r>
              <w:rPr>
                <w:rFonts w:hint="eastAsia"/>
              </w:rPr>
              <w:t>Design: Retrospective observational pharmacovigilance study</w:t>
            </w:r>
          </w:p>
          <w:p w14:paraId="10A7D424">
            <w:pPr>
              <w:pStyle w:val="7"/>
              <w:spacing w:before="102" w:line="199" w:lineRule="auto"/>
              <w:ind w:left="111"/>
            </w:pPr>
            <w:r>
              <w:rPr>
                <w:rFonts w:hint="eastAsia"/>
              </w:rPr>
              <w:t>Database: FDA Adverse Event Reporting System (FAERS), 2019 Q1–2025 Q1</w:t>
            </w:r>
          </w:p>
        </w:tc>
      </w:tr>
      <w:tr w14:paraId="06EAE47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1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7E63B33">
            <w:pPr>
              <w:pStyle w:val="7"/>
              <w:spacing w:before="102" w:line="199" w:lineRule="auto"/>
              <w:ind w:left="114"/>
            </w:pPr>
            <w:r>
              <w:rPr>
                <w:spacing w:val="3"/>
              </w:rPr>
              <w:t>Objective</w:t>
            </w:r>
          </w:p>
        </w:tc>
        <w:tc>
          <w:tcPr>
            <w:tcW w:w="7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5D85047">
            <w:pPr>
              <w:pStyle w:val="7"/>
              <w:spacing w:before="103" w:line="199" w:lineRule="auto"/>
              <w:ind w:left="120"/>
            </w:pPr>
            <w:r>
              <w:rPr>
                <w:rFonts w:hint="eastAsia"/>
              </w:rPr>
              <w:t>To identify adverse event (AE) signals and safety profiles of caplacizumab using real-world FAERS data</w:t>
            </w:r>
          </w:p>
        </w:tc>
      </w:tr>
      <w:tr w14:paraId="18E2158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938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B76A2EA">
            <w:pPr>
              <w:pStyle w:val="7"/>
              <w:spacing w:before="166" w:line="196" w:lineRule="auto"/>
              <w:ind w:left="111"/>
            </w:pPr>
            <w:r>
              <w:rPr>
                <w:spacing w:val="4"/>
              </w:rPr>
              <w:t>Methods</w:t>
            </w:r>
          </w:p>
        </w:tc>
      </w:tr>
      <w:tr w14:paraId="6EBF1FB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838CAD1">
            <w:pPr>
              <w:pStyle w:val="7"/>
              <w:spacing w:before="106" w:line="199" w:lineRule="auto"/>
              <w:ind w:left="241"/>
            </w:pPr>
            <w:r>
              <w:rPr>
                <w:spacing w:val="2"/>
              </w:rPr>
              <w:t>Setting</w:t>
            </w:r>
          </w:p>
        </w:tc>
        <w:tc>
          <w:tcPr>
            <w:tcW w:w="7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99033B3">
            <w:pPr>
              <w:pStyle w:val="7"/>
              <w:spacing w:before="105" w:line="290" w:lineRule="auto"/>
              <w:ind w:left="108" w:right="116" w:firstLine="2"/>
              <w:rPr>
                <w:rFonts w:hint="eastAsia"/>
              </w:rPr>
            </w:pPr>
            <w:r>
              <w:rPr>
                <w:rFonts w:hint="eastAsia"/>
              </w:rPr>
              <w:t>Setting: US FDA FAERS public database</w:t>
            </w:r>
          </w:p>
          <w:p w14:paraId="15B5A63D">
            <w:pPr>
              <w:pStyle w:val="7"/>
              <w:spacing w:before="105" w:line="290" w:lineRule="auto"/>
              <w:ind w:left="108" w:right="116" w:firstLine="2"/>
              <w:rPr>
                <w:rFonts w:hint="eastAsia"/>
              </w:rPr>
            </w:pPr>
            <w:r>
              <w:rPr>
                <w:rFonts w:hint="eastAsia"/>
              </w:rPr>
              <w:t>Study period: January 2019 to March 2025</w:t>
            </w:r>
          </w:p>
          <w:p w14:paraId="443E5877">
            <w:pPr>
              <w:pStyle w:val="7"/>
              <w:spacing w:before="105" w:line="290" w:lineRule="auto"/>
              <w:ind w:left="108" w:right="116" w:firstLine="2"/>
            </w:pPr>
            <w:r>
              <w:rPr>
                <w:rFonts w:hint="eastAsia"/>
              </w:rPr>
              <w:t>Outcomes: AE reports, signal detection, onset time, subgroup characteristics</w:t>
            </w:r>
          </w:p>
        </w:tc>
      </w:tr>
      <w:tr w14:paraId="672548B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6" w:hRule="atLeast"/>
        </w:trPr>
        <w:tc>
          <w:tcPr>
            <w:tcW w:w="1911" w:type="dxa"/>
            <w:tcBorders>
              <w:top w:val="single" w:color="000000" w:sz="2" w:space="0"/>
              <w:bottom w:val="nil"/>
            </w:tcBorders>
            <w:vAlign w:val="top"/>
          </w:tcPr>
          <w:p w14:paraId="4139C997">
            <w:pPr>
              <w:pStyle w:val="7"/>
              <w:spacing w:before="104" w:line="199" w:lineRule="auto"/>
              <w:ind w:left="231"/>
            </w:pPr>
            <w:r>
              <w:rPr>
                <w:spacing w:val="3"/>
              </w:rPr>
              <w:t>Participants</w:t>
            </w:r>
          </w:p>
        </w:tc>
        <w:tc>
          <w:tcPr>
            <w:tcW w:w="7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B7FDE2B">
            <w:pPr>
              <w:pStyle w:val="7"/>
              <w:spacing w:before="1" w:line="268" w:lineRule="auto"/>
              <w:ind w:left="117" w:right="154" w:firstLine="3"/>
              <w:rPr>
                <w:rFonts w:hint="eastAsia"/>
              </w:rPr>
            </w:pPr>
            <w:r>
              <w:rPr>
                <w:rFonts w:hint="eastAsia"/>
              </w:rPr>
              <w:t>Inclusion: All AE reports where caplacizumab was the primary suspected drug</w:t>
            </w:r>
          </w:p>
          <w:p w14:paraId="2327FDB7">
            <w:pPr>
              <w:pStyle w:val="7"/>
              <w:spacing w:before="1" w:line="268" w:lineRule="auto"/>
              <w:ind w:left="117" w:right="154" w:firstLine="3"/>
              <w:rPr>
                <w:rFonts w:hint="eastAsia"/>
              </w:rPr>
            </w:pPr>
            <w:r>
              <w:rPr>
                <w:rFonts w:hint="eastAsia"/>
              </w:rPr>
              <w:t>Exclusion: Duplicate records, incomplete reports</w:t>
            </w:r>
          </w:p>
          <w:p w14:paraId="7A301F3E">
            <w:pPr>
              <w:pStyle w:val="7"/>
              <w:spacing w:before="1" w:line="268" w:lineRule="auto"/>
              <w:ind w:left="117" w:right="154" w:firstLine="3"/>
              <w:rPr>
                <w:rFonts w:hint="eastAsia"/>
              </w:rPr>
            </w:pPr>
            <w:r>
              <w:rPr>
                <w:rFonts w:hint="eastAsia"/>
              </w:rPr>
              <w:t>Data cleaning: FDA-recommended two-step deduplication</w:t>
            </w:r>
          </w:p>
          <w:p w14:paraId="245C38E3">
            <w:pPr>
              <w:pStyle w:val="7"/>
              <w:spacing w:before="1" w:line="268" w:lineRule="auto"/>
              <w:ind w:left="117" w:right="154" w:firstLine="3"/>
            </w:pPr>
            <w:r>
              <w:rPr>
                <w:rFonts w:hint="eastAsia"/>
              </w:rPr>
              <w:t>Sample size: 1144 eligible reports</w:t>
            </w:r>
          </w:p>
        </w:tc>
      </w:tr>
      <w:tr w14:paraId="78D26BE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F7DD63F">
            <w:pPr>
              <w:pStyle w:val="7"/>
              <w:spacing w:before="106" w:line="197" w:lineRule="auto"/>
              <w:ind w:left="230"/>
            </w:pPr>
            <w:r>
              <w:rPr>
                <w:spacing w:val="3"/>
              </w:rPr>
              <w:t>Variables</w:t>
            </w:r>
          </w:p>
        </w:tc>
        <w:tc>
          <w:tcPr>
            <w:tcW w:w="7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D04ED29">
            <w:pPr>
              <w:pStyle w:val="7"/>
              <w:spacing w:before="106" w:line="199" w:lineRule="auto"/>
              <w:ind w:left="114"/>
              <w:rPr>
                <w:rFonts w:hint="eastAsia"/>
              </w:rPr>
            </w:pPr>
            <w:r>
              <w:rPr>
                <w:rFonts w:hint="eastAsia"/>
              </w:rPr>
              <w:t>Primary outcome: Adverse events (AEs) associated with caplacizumab</w:t>
            </w:r>
          </w:p>
          <w:p w14:paraId="656C186C">
            <w:pPr>
              <w:pStyle w:val="7"/>
              <w:spacing w:before="106" w:line="199" w:lineRule="auto"/>
              <w:ind w:left="114"/>
              <w:rPr>
                <w:rFonts w:hint="eastAsia"/>
              </w:rPr>
            </w:pPr>
            <w:r>
              <w:rPr>
                <w:rFonts w:hint="eastAsia"/>
              </w:rPr>
              <w:t>Definitions: MedDRA 26.1 SOC/PT terms</w:t>
            </w:r>
          </w:p>
          <w:p w14:paraId="3A10C574">
            <w:pPr>
              <w:pStyle w:val="7"/>
              <w:spacing w:before="106" w:line="199" w:lineRule="auto"/>
              <w:ind w:left="114"/>
              <w:rPr>
                <w:rFonts w:hint="eastAsia"/>
              </w:rPr>
            </w:pPr>
            <w:r>
              <w:rPr>
                <w:rFonts w:hint="eastAsia"/>
              </w:rPr>
              <w:t>Exposure: Caplacizumab use</w:t>
            </w:r>
          </w:p>
          <w:p w14:paraId="310ADF54">
            <w:pPr>
              <w:pStyle w:val="7"/>
              <w:spacing w:before="106" w:line="199" w:lineRule="auto"/>
              <w:ind w:left="114"/>
            </w:pPr>
            <w:r>
              <w:rPr>
                <w:rFonts w:hint="eastAsia"/>
              </w:rPr>
              <w:t>Outcomes: Bleeding events, injection-site reactions, laboratory abnormalities</w:t>
            </w:r>
          </w:p>
        </w:tc>
      </w:tr>
    </w:tbl>
    <w:p w14:paraId="735C3E56">
      <w:pPr>
        <w:spacing w:line="101" w:lineRule="exact"/>
      </w:pPr>
    </w:p>
    <w:tbl>
      <w:tblPr>
        <w:tblStyle w:val="6"/>
        <w:tblW w:w="9465" w:type="dxa"/>
        <w:tblInd w:w="211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5"/>
        <w:gridCol w:w="7550"/>
      </w:tblGrid>
      <w:tr w14:paraId="6BF5D00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915" w:type="dxa"/>
            <w:tcBorders>
              <w:bottom w:val="single" w:color="000000" w:sz="2" w:space="0"/>
            </w:tcBorders>
            <w:vAlign w:val="top"/>
          </w:tcPr>
          <w:p w14:paraId="00F8F0D7">
            <w:pPr>
              <w:pStyle w:val="7"/>
              <w:spacing w:line="196" w:lineRule="auto"/>
              <w:ind w:left="241"/>
            </w:pPr>
            <w:r>
              <w:rPr>
                <w:spacing w:val="2"/>
              </w:rPr>
              <w:t>Statistical</w:t>
            </w:r>
          </w:p>
          <w:p w14:paraId="27DBE286">
            <w:pPr>
              <w:pStyle w:val="7"/>
              <w:spacing w:before="121" w:line="205" w:lineRule="auto"/>
              <w:ind w:left="230"/>
            </w:pPr>
            <w:r>
              <w:rPr>
                <w:spacing w:val="4"/>
              </w:rPr>
              <w:t>methods</w:t>
            </w:r>
          </w:p>
        </w:tc>
        <w:tc>
          <w:tcPr>
            <w:tcW w:w="7550" w:type="dxa"/>
            <w:tcBorders>
              <w:bottom w:val="single" w:color="000000" w:sz="2" w:space="0"/>
            </w:tcBorders>
            <w:vAlign w:val="top"/>
          </w:tcPr>
          <w:p w14:paraId="65253FAB">
            <w:pPr>
              <w:pStyle w:val="7"/>
              <w:spacing w:line="199" w:lineRule="auto"/>
              <w:ind w:left="401"/>
              <w:rPr>
                <w:rFonts w:hint="eastAsia"/>
              </w:rPr>
            </w:pPr>
            <w:r>
              <w:rPr>
                <w:rFonts w:hint="eastAsia"/>
              </w:rPr>
              <w:t>Disproportionality analysis:ROR, PRR, BCPNN, MGPS</w:t>
            </w:r>
          </w:p>
          <w:p w14:paraId="659567D2">
            <w:pPr>
              <w:pStyle w:val="7"/>
              <w:spacing w:line="199" w:lineRule="auto"/>
              <w:ind w:left="401"/>
              <w:rPr>
                <w:rFonts w:hint="eastAsia"/>
              </w:rPr>
            </w:pPr>
            <w:r>
              <w:rPr>
                <w:rFonts w:hint="eastAsia"/>
              </w:rPr>
              <w:t>Time-to-onset: Weibull distribution</w:t>
            </w:r>
          </w:p>
          <w:p w14:paraId="3F8FB149">
            <w:pPr>
              <w:pStyle w:val="7"/>
              <w:spacing w:line="199" w:lineRule="auto"/>
              <w:ind w:left="401"/>
              <w:rPr>
                <w:rFonts w:hint="eastAsia"/>
              </w:rPr>
            </w:pPr>
            <w:r>
              <w:rPr>
                <w:rFonts w:hint="eastAsia"/>
              </w:rPr>
              <w:t>Subgroup analyses: Gender, age, reporter type</w:t>
            </w:r>
          </w:p>
          <w:p w14:paraId="77FEFFCA">
            <w:pPr>
              <w:pStyle w:val="7"/>
              <w:spacing w:line="199" w:lineRule="auto"/>
              <w:ind w:left="401"/>
            </w:pPr>
            <w:r>
              <w:rPr>
                <w:rFonts w:hint="eastAsia"/>
              </w:rPr>
              <w:t>Software: SAS 9.4, GraphPad Prism 9.1</w:t>
            </w:r>
          </w:p>
        </w:tc>
      </w:tr>
      <w:tr w14:paraId="3C6A2D8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465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5099E62">
            <w:pPr>
              <w:pStyle w:val="7"/>
              <w:spacing w:before="167" w:line="197" w:lineRule="auto"/>
              <w:ind w:left="111"/>
            </w:pPr>
            <w:r>
              <w:rPr>
                <w:spacing w:val="3"/>
              </w:rPr>
              <w:t>Results</w:t>
            </w:r>
          </w:p>
        </w:tc>
      </w:tr>
      <w:tr w14:paraId="0C43048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91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9759CB3">
            <w:pPr>
              <w:pStyle w:val="7"/>
              <w:spacing w:before="44" w:line="199" w:lineRule="auto"/>
              <w:ind w:left="231"/>
            </w:pPr>
            <w:r>
              <w:rPr>
                <w:spacing w:val="3"/>
              </w:rPr>
              <w:t>Participants</w:t>
            </w:r>
          </w:p>
        </w:tc>
        <w:tc>
          <w:tcPr>
            <w:tcW w:w="7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F3485C3">
            <w:pPr>
              <w:pStyle w:val="7"/>
              <w:spacing w:before="43" w:line="199" w:lineRule="auto"/>
              <w:ind w:left="401"/>
              <w:rPr>
                <w:rFonts w:hint="eastAsia"/>
              </w:rPr>
            </w:pPr>
            <w:r>
              <w:rPr>
                <w:rFonts w:hint="eastAsia"/>
              </w:rPr>
              <w:t>Initially retrieved: 1640485 reports</w:t>
            </w:r>
          </w:p>
          <w:p w14:paraId="7F65D85B">
            <w:pPr>
              <w:pStyle w:val="7"/>
              <w:spacing w:before="43" w:line="199" w:lineRule="auto"/>
              <w:ind w:left="401"/>
              <w:rPr>
                <w:rFonts w:hint="eastAsia"/>
              </w:rPr>
            </w:pPr>
            <w:r>
              <w:rPr>
                <w:rFonts w:hint="eastAsia"/>
              </w:rPr>
              <w:t>After deduplication &amp; screening: 1144 included</w:t>
            </w:r>
          </w:p>
          <w:p w14:paraId="15F50215">
            <w:pPr>
              <w:pStyle w:val="7"/>
              <w:spacing w:before="43" w:line="199" w:lineRule="auto"/>
              <w:ind w:left="401"/>
            </w:pPr>
            <w:r>
              <w:rPr>
                <w:rFonts w:hint="eastAsia"/>
              </w:rPr>
              <w:t xml:space="preserve">Follow-up/completeness: All included reports complete </w:t>
            </w:r>
          </w:p>
        </w:tc>
      </w:tr>
      <w:tr w14:paraId="7F63077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7" w:hRule="atLeast"/>
        </w:trPr>
        <w:tc>
          <w:tcPr>
            <w:tcW w:w="191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11EF641">
            <w:pPr>
              <w:pStyle w:val="7"/>
              <w:spacing w:before="44" w:line="241" w:lineRule="auto"/>
              <w:ind w:left="231"/>
            </w:pPr>
            <w:r>
              <w:rPr>
                <w:spacing w:val="3"/>
              </w:rPr>
              <w:t>Main results</w:t>
            </w:r>
          </w:p>
        </w:tc>
        <w:tc>
          <w:tcPr>
            <w:tcW w:w="7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3AB056F">
            <w:pPr>
              <w:pStyle w:val="7"/>
              <w:spacing w:before="30" w:line="240" w:lineRule="auto"/>
              <w:ind w:left="404" w:right="994" w:hanging="3"/>
              <w:rPr>
                <w:rFonts w:hint="eastAsia"/>
              </w:rPr>
            </w:pPr>
            <w:r>
              <w:rPr>
                <w:rFonts w:hint="eastAsia"/>
              </w:rPr>
              <w:t>Key signals: epistaxis, contusion, injection-site reactions</w:t>
            </w:r>
          </w:p>
          <w:p w14:paraId="78ABD83A">
            <w:pPr>
              <w:pStyle w:val="7"/>
              <w:spacing w:before="30" w:line="240" w:lineRule="auto"/>
              <w:ind w:left="404" w:right="994" w:hanging="3"/>
              <w:rPr>
                <w:rFonts w:hint="eastAsia"/>
              </w:rPr>
            </w:pPr>
            <w:r>
              <w:rPr>
                <w:rFonts w:hint="eastAsia"/>
              </w:rPr>
              <w:t>Bleeding AEs consistent with label</w:t>
            </w:r>
          </w:p>
          <w:p w14:paraId="191A49F1">
            <w:pPr>
              <w:pStyle w:val="7"/>
              <w:spacing w:before="30" w:line="240" w:lineRule="auto"/>
              <w:ind w:left="404" w:right="994" w:hanging="3"/>
              <w:rPr>
                <w:rFonts w:hint="eastAsia"/>
              </w:rPr>
            </w:pPr>
            <w:r>
              <w:rPr>
                <w:rFonts w:hint="eastAsia"/>
              </w:rPr>
              <w:t>Platelet/ADAMTS13 reduction = disease manifestation, not drug AE</w:t>
            </w:r>
          </w:p>
          <w:p w14:paraId="1D572716">
            <w:pPr>
              <w:pStyle w:val="7"/>
              <w:spacing w:before="30" w:line="240" w:lineRule="auto"/>
              <w:ind w:left="404" w:right="994" w:hanging="3"/>
              <w:rPr>
                <w:rFonts w:hint="eastAsia"/>
              </w:rPr>
            </w:pPr>
            <w:r>
              <w:rPr>
                <w:rFonts w:hint="eastAsia"/>
              </w:rPr>
              <w:t>Early onset: 40.4% within 7 days</w:t>
            </w:r>
          </w:p>
          <w:p w14:paraId="78A1A648">
            <w:pPr>
              <w:pStyle w:val="7"/>
              <w:spacing w:before="30" w:line="240" w:lineRule="auto"/>
              <w:ind w:left="404" w:right="994" w:hanging="3"/>
            </w:pPr>
            <w:r>
              <w:rPr>
                <w:rFonts w:hint="eastAsia"/>
              </w:rPr>
              <w:t>Estimates presented with 95% CI</w:t>
            </w:r>
            <w:bookmarkStart w:id="0" w:name="_GoBack"/>
            <w:bookmarkEnd w:id="0"/>
          </w:p>
        </w:tc>
      </w:tr>
      <w:tr w14:paraId="463F37E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6" w:hRule="atLeast"/>
        </w:trPr>
        <w:tc>
          <w:tcPr>
            <w:tcW w:w="191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8A54CD3">
            <w:pPr>
              <w:pStyle w:val="7"/>
              <w:spacing w:before="44" w:line="241" w:lineRule="auto"/>
              <w:ind w:left="231"/>
              <w:rPr>
                <w:spacing w:val="3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Conclusions</w:t>
            </w:r>
          </w:p>
        </w:tc>
        <w:tc>
          <w:tcPr>
            <w:tcW w:w="7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64B4085">
            <w:pPr>
              <w:pStyle w:val="2"/>
              <w:spacing w:line="256" w:lineRule="auto"/>
              <w:ind w:left="420" w:leftChars="200" w:firstLine="0" w:firstLineChars="0"/>
              <w:rPr>
                <w:rFonts w:hint="eastAsia" w:ascii="Times New Roman" w:hAnsi="Times New Roman" w:eastAsia="Times New Roman" w:cs="Times New Roman"/>
                <w:spacing w:val="12"/>
                <w:sz w:val="19"/>
                <w:szCs w:val="19"/>
              </w:rPr>
            </w:pPr>
            <w:r>
              <w:rPr>
                <w:rFonts w:hint="eastAsia" w:ascii="Times New Roman" w:hAnsi="Times New Roman" w:eastAsia="Times New Roman" w:cs="Times New Roman"/>
                <w:spacing w:val="12"/>
                <w:sz w:val="19"/>
                <w:szCs w:val="19"/>
              </w:rPr>
              <w:t>Caplacizumab has a predictable safety profile</w:t>
            </w:r>
          </w:p>
          <w:p w14:paraId="5CFA7C29">
            <w:pPr>
              <w:pStyle w:val="2"/>
              <w:spacing w:line="256" w:lineRule="auto"/>
              <w:ind w:left="420" w:leftChars="200" w:firstLine="0" w:firstLineChars="0"/>
              <w:rPr>
                <w:rFonts w:hint="eastAsia" w:ascii="Times New Roman" w:hAnsi="Times New Roman" w:eastAsia="Times New Roman" w:cs="Times New Roman"/>
                <w:spacing w:val="12"/>
                <w:sz w:val="19"/>
                <w:szCs w:val="19"/>
              </w:rPr>
            </w:pPr>
            <w:r>
              <w:rPr>
                <w:rFonts w:hint="eastAsia" w:ascii="Times New Roman" w:hAnsi="Times New Roman" w:eastAsia="Times New Roman" w:cs="Times New Roman"/>
                <w:spacing w:val="12"/>
                <w:sz w:val="19"/>
                <w:szCs w:val="19"/>
              </w:rPr>
              <w:t>Main AEs: bleeding &amp; local injection reactions</w:t>
            </w:r>
          </w:p>
          <w:p w14:paraId="361F4BE1">
            <w:pPr>
              <w:pStyle w:val="2"/>
              <w:spacing w:line="256" w:lineRule="auto"/>
              <w:ind w:left="0" w:leftChars="0" w:firstLine="419" w:firstLineChars="196"/>
              <w:rPr>
                <w:rFonts w:hint="eastAsia" w:ascii="Times New Roman" w:hAnsi="Times New Roman" w:eastAsia="Times New Roman" w:cs="Times New Roman"/>
                <w:spacing w:val="12"/>
                <w:sz w:val="19"/>
                <w:szCs w:val="19"/>
              </w:rPr>
            </w:pPr>
            <w:r>
              <w:rPr>
                <w:rFonts w:hint="eastAsia" w:ascii="Times New Roman" w:hAnsi="Times New Roman" w:eastAsia="Times New Roman" w:cs="Times New Roman"/>
                <w:spacing w:val="12"/>
                <w:sz w:val="19"/>
                <w:szCs w:val="19"/>
              </w:rPr>
              <w:t>Laboratory abnormalities reflect aTTP activity</w:t>
            </w:r>
          </w:p>
          <w:p w14:paraId="6AC44218">
            <w:pPr>
              <w:pStyle w:val="2"/>
              <w:spacing w:line="256" w:lineRule="auto"/>
              <w:ind w:left="420" w:leftChars="200" w:firstLine="0" w:firstLineChars="0"/>
              <w:rPr>
                <w:rFonts w:hint="eastAsia"/>
              </w:rPr>
            </w:pPr>
            <w:r>
              <w:rPr>
                <w:rFonts w:hint="eastAsia" w:ascii="Times New Roman" w:hAnsi="Times New Roman" w:eastAsia="Times New Roman" w:cs="Times New Roman"/>
                <w:spacing w:val="12"/>
                <w:sz w:val="19"/>
                <w:szCs w:val="19"/>
              </w:rPr>
              <w:t>Clinical monitoring should focus on bleeding and injection site</w:t>
            </w:r>
          </w:p>
        </w:tc>
      </w:tr>
      <w:tr w14:paraId="320C2F5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6" w:hRule="atLeast"/>
        </w:trPr>
        <w:tc>
          <w:tcPr>
            <w:tcW w:w="191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50A7B92">
            <w:pPr>
              <w:pStyle w:val="7"/>
              <w:spacing w:before="44" w:line="241" w:lineRule="auto"/>
              <w:ind w:left="231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hint="eastAsia" w:ascii="Times New Roman" w:hAnsi="Times New Roman" w:eastAsia="Times New Roman" w:cs="Times New Roman"/>
                <w:sz w:val="19"/>
                <w:szCs w:val="19"/>
              </w:rPr>
              <w:t xml:space="preserve">Ethics </w:t>
            </w:r>
          </w:p>
        </w:tc>
        <w:tc>
          <w:tcPr>
            <w:tcW w:w="7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51D44E6">
            <w:pPr>
              <w:pStyle w:val="2"/>
              <w:spacing w:line="256" w:lineRule="auto"/>
              <w:ind w:left="0" w:leftChars="0" w:firstLine="428" w:firstLineChars="200"/>
              <w:rPr>
                <w:rFonts w:hint="eastAsia" w:ascii="Times New Roman" w:hAnsi="Times New Roman" w:eastAsia="Times New Roman" w:cs="Times New Roman"/>
                <w:spacing w:val="12"/>
                <w:sz w:val="19"/>
                <w:szCs w:val="19"/>
              </w:rPr>
            </w:pPr>
            <w:r>
              <w:rPr>
                <w:rFonts w:hint="eastAsia" w:ascii="Times New Roman" w:hAnsi="Times New Roman" w:eastAsia="Times New Roman" w:cs="Times New Roman"/>
                <w:spacing w:val="12"/>
                <w:sz w:val="19"/>
                <w:szCs w:val="19"/>
              </w:rPr>
              <w:t>Publicly available de-identified FAERS data</w:t>
            </w:r>
          </w:p>
          <w:p w14:paraId="6725A9FB">
            <w:pPr>
              <w:pStyle w:val="2"/>
              <w:spacing w:line="256" w:lineRule="auto"/>
              <w:ind w:left="420" w:leftChars="200" w:firstLine="0" w:firstLineChars="0"/>
              <w:rPr>
                <w:rFonts w:hint="eastAsia" w:ascii="Times New Roman" w:hAnsi="Times New Roman" w:eastAsia="Times New Roman" w:cs="Times New Roman"/>
                <w:spacing w:val="12"/>
                <w:sz w:val="19"/>
                <w:szCs w:val="19"/>
              </w:rPr>
            </w:pPr>
            <w:r>
              <w:rPr>
                <w:rFonts w:hint="eastAsia" w:ascii="Times New Roman" w:hAnsi="Times New Roman" w:eastAsia="Times New Roman" w:cs="Times New Roman"/>
                <w:spacing w:val="12"/>
                <w:sz w:val="19"/>
                <w:szCs w:val="19"/>
              </w:rPr>
              <w:t>Ethics approval: Not applicable</w:t>
            </w:r>
          </w:p>
        </w:tc>
      </w:tr>
    </w:tbl>
    <w:p w14:paraId="5A6222CE">
      <w:pPr>
        <w:pStyle w:val="2"/>
        <w:spacing w:line="256" w:lineRule="auto"/>
      </w:pPr>
      <w:r>
        <w:rPr>
          <w:rFonts w:ascii="Times New Roman" w:hAnsi="Times New Roman" w:eastAsia="Times New Roman" w:cs="Times New Roman"/>
          <w:spacing w:val="12"/>
          <w:sz w:val="19"/>
          <w:szCs w:val="19"/>
        </w:rPr>
        <w:t xml:space="preserve">             </w:t>
      </w:r>
    </w:p>
    <w:p w14:paraId="443B7D2E">
      <w:pPr>
        <w:pStyle w:val="2"/>
        <w:spacing w:line="256" w:lineRule="auto"/>
      </w:pPr>
    </w:p>
    <w:p w14:paraId="799E344F">
      <w:pPr>
        <w:pStyle w:val="2"/>
        <w:spacing w:line="256" w:lineRule="auto"/>
      </w:pPr>
    </w:p>
    <w:p w14:paraId="1C57F3F5">
      <w:pPr>
        <w:pStyle w:val="2"/>
        <w:spacing w:line="256" w:lineRule="auto"/>
      </w:pPr>
    </w:p>
    <w:p w14:paraId="25831210">
      <w:pPr>
        <w:pStyle w:val="2"/>
        <w:spacing w:line="256" w:lineRule="auto"/>
      </w:pPr>
    </w:p>
    <w:p w14:paraId="3F89B073">
      <w:pPr>
        <w:pStyle w:val="2"/>
        <w:spacing w:line="256" w:lineRule="auto"/>
      </w:pPr>
    </w:p>
    <w:p w14:paraId="08EDFBBA">
      <w:pPr>
        <w:pStyle w:val="2"/>
        <w:spacing w:line="257" w:lineRule="auto"/>
      </w:pPr>
    </w:p>
    <w:p w14:paraId="305C4E74">
      <w:pPr>
        <w:pStyle w:val="2"/>
        <w:spacing w:line="257" w:lineRule="auto"/>
      </w:pPr>
    </w:p>
    <w:p w14:paraId="7BB0D579">
      <w:pPr>
        <w:pStyle w:val="2"/>
        <w:spacing w:line="257" w:lineRule="auto"/>
      </w:pPr>
    </w:p>
    <w:p w14:paraId="23F20C5E">
      <w:pPr>
        <w:pStyle w:val="2"/>
        <w:spacing w:line="257" w:lineRule="auto"/>
      </w:pPr>
    </w:p>
    <w:p w14:paraId="12065688">
      <w:pPr>
        <w:pStyle w:val="2"/>
        <w:spacing w:line="257" w:lineRule="auto"/>
      </w:pPr>
    </w:p>
    <w:p w14:paraId="622C4CE7">
      <w:pPr>
        <w:pStyle w:val="2"/>
        <w:spacing w:line="257" w:lineRule="auto"/>
      </w:pPr>
    </w:p>
    <w:p w14:paraId="398EFE9E">
      <w:pPr>
        <w:pStyle w:val="2"/>
        <w:spacing w:line="257" w:lineRule="auto"/>
      </w:pPr>
    </w:p>
    <w:p w14:paraId="041F5B5B">
      <w:pPr>
        <w:pStyle w:val="2"/>
        <w:spacing w:before="56" w:line="217" w:lineRule="auto"/>
        <w:ind w:left="326"/>
        <w:rPr>
          <w:sz w:val="19"/>
          <w:szCs w:val="19"/>
        </w:rPr>
      </w:pPr>
      <w:r>
        <w:rPr>
          <w:sz w:val="16"/>
          <w:szCs w:val="16"/>
        </w:rPr>
        <w:t>STROBE</w:t>
      </w:r>
      <w:r>
        <w:rPr>
          <w:spacing w:val="1"/>
          <w:sz w:val="16"/>
          <w:szCs w:val="16"/>
        </w:rPr>
        <w:t>_</w:t>
      </w:r>
      <w:r>
        <w:rPr>
          <w:sz w:val="16"/>
          <w:szCs w:val="16"/>
        </w:rPr>
        <w:t>checklist</w:t>
      </w:r>
      <w:r>
        <w:rPr>
          <w:spacing w:val="1"/>
          <w:sz w:val="16"/>
          <w:szCs w:val="16"/>
        </w:rPr>
        <w:t>_</w:t>
      </w:r>
      <w:r>
        <w:rPr>
          <w:sz w:val="16"/>
          <w:szCs w:val="16"/>
        </w:rPr>
        <w:t>conference</w:t>
      </w:r>
      <w:r>
        <w:rPr>
          <w:spacing w:val="1"/>
          <w:sz w:val="16"/>
          <w:szCs w:val="16"/>
        </w:rPr>
        <w:t>_</w:t>
      </w:r>
      <w:r>
        <w:rPr>
          <w:sz w:val="16"/>
          <w:szCs w:val="16"/>
        </w:rPr>
        <w:t>abstract</w:t>
      </w:r>
      <w:r>
        <w:rPr>
          <w:spacing w:val="1"/>
          <w:sz w:val="16"/>
          <w:szCs w:val="16"/>
        </w:rPr>
        <w:t>_</w:t>
      </w:r>
      <w:r>
        <w:rPr>
          <w:sz w:val="16"/>
          <w:szCs w:val="16"/>
        </w:rPr>
        <w:t>DRAFT</w:t>
      </w:r>
      <w:r>
        <w:rPr>
          <w:spacing w:val="1"/>
          <w:sz w:val="16"/>
          <w:szCs w:val="16"/>
        </w:rPr>
        <w:t xml:space="preserve">_v03               </w:t>
      </w:r>
      <w:r>
        <w:rPr>
          <w:sz w:val="16"/>
          <w:szCs w:val="16"/>
        </w:rPr>
        <w:t xml:space="preserve">     </w:t>
      </w:r>
      <w:r>
        <w:rPr>
          <w:position w:val="-3"/>
          <w:sz w:val="19"/>
          <w:szCs w:val="19"/>
        </w:rPr>
        <w:t>1</w:t>
      </w:r>
    </w:p>
    <w:sectPr>
      <w:type w:val="continuous"/>
      <w:pgSz w:w="11909" w:h="16834"/>
      <w:pgMar w:top="1475" w:right="1418" w:bottom="0" w:left="813" w:header="504" w:footer="0" w:gutter="0"/>
      <w:cols w:equalWidth="0" w:num="1">
        <w:col w:w="9677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35B094">
    <w:pPr>
      <w:spacing w:line="961" w:lineRule="exact"/>
      <w:ind w:firstLine="308"/>
    </w:pPr>
    <w:r>
      <w:rPr>
        <w:position w:val="-19"/>
      </w:rPr>
      <w:drawing>
        <wp:inline distT="0" distB="0" distL="0" distR="0">
          <wp:extent cx="2794000" cy="610235"/>
          <wp:effectExtent l="0" t="0" r="0" b="0"/>
          <wp:docPr id="2" name="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94634" cy="6108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3146068C"/>
    <w:rsid w:val="39307FEB"/>
    <w:rsid w:val="453827C2"/>
    <w:rsid w:val="772153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character" w:styleId="5">
    <w:name w:val="Strong"/>
    <w:basedOn w:val="4"/>
    <w:qFormat/>
    <w:uiPriority w:val="0"/>
    <w:rPr>
      <w:b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274</Words>
  <Characters>1980</Characters>
  <TotalTime>3</TotalTime>
  <ScaleCrop>false</ScaleCrop>
  <LinksUpToDate>false</LinksUpToDate>
  <CharactersWithSpaces>2233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2011-09-20T13:48:00Z</dcterms:created>
  <dc:creator>pplouffe</dc:creator>
  <cp:lastModifiedBy>yxx</cp:lastModifiedBy>
  <dcterms:modified xsi:type="dcterms:W3CDTF">2026-05-11T12:39:31Z</dcterms:modified>
  <dc:title>The Impact of a Community-Oriented Problem-Based Learning Curriculum Reform on the Quality of Primary Care Delivered by Gradua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2026-05-07T14:17:41Z</vt:filetime>
  </property>
  <property fmtid="{D5CDD505-2E9C-101B-9397-08002B2CF9AE}" pid="4" name="KSOTemplateDocerSaveRecord">
    <vt:lpwstr>eyJoZGlkIjoiMzMwZjMxYzcwNWE0NDJlNjY5NzBjNjQyZTkxNTIxNjMiLCJ1c2VySWQiOiI0NDI3Mzg4NzQifQ==</vt:lpwstr>
  </property>
  <property fmtid="{D5CDD505-2E9C-101B-9397-08002B2CF9AE}" pid="5" name="KSOProductBuildVer">
    <vt:lpwstr>2052-12.1.0.25865</vt:lpwstr>
  </property>
  <property fmtid="{D5CDD505-2E9C-101B-9397-08002B2CF9AE}" pid="6" name="ICV">
    <vt:lpwstr>14925726B16C4C6EA96DB10C5B01E71F_13</vt:lpwstr>
  </property>
</Properties>
</file>